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CF" w:rsidRDefault="00D81479">
      <w:pPr>
        <w:rPr>
          <w:b/>
          <w:sz w:val="28"/>
        </w:rPr>
      </w:pPr>
      <w:r>
        <w:rPr>
          <w:b/>
          <w:sz w:val="28"/>
        </w:rPr>
        <w:t>Changes B</w:t>
      </w:r>
      <w:r w:rsidRPr="00D81479">
        <w:rPr>
          <w:b/>
          <w:sz w:val="28"/>
        </w:rPr>
        <w:t>etween APA 6</w:t>
      </w:r>
      <w:r w:rsidRPr="00D81479">
        <w:rPr>
          <w:b/>
          <w:sz w:val="28"/>
          <w:vertAlign w:val="superscript"/>
        </w:rPr>
        <w:t>th</w:t>
      </w:r>
      <w:r w:rsidRPr="00D81479">
        <w:rPr>
          <w:b/>
          <w:sz w:val="28"/>
        </w:rPr>
        <w:t xml:space="preserve"> and APA 7</w:t>
      </w:r>
      <w:r w:rsidRPr="00D81479">
        <w:rPr>
          <w:b/>
          <w:sz w:val="28"/>
          <w:vertAlign w:val="superscript"/>
        </w:rPr>
        <w:t>th</w:t>
      </w:r>
      <w:r>
        <w:rPr>
          <w:b/>
          <w:sz w:val="28"/>
        </w:rPr>
        <w:t xml:space="preserve"> E</w:t>
      </w:r>
      <w:r w:rsidRPr="00D81479">
        <w:rPr>
          <w:b/>
          <w:sz w:val="28"/>
        </w:rPr>
        <w:t>ditions</w:t>
      </w:r>
      <w:bookmarkStart w:id="0" w:name="_GoBack"/>
      <w:bookmarkEnd w:id="0"/>
    </w:p>
    <w:p w:rsidR="00D81479" w:rsidRDefault="00D81479"/>
    <w:p w:rsidR="00D81479" w:rsidRPr="00D81479" w:rsidRDefault="00D81479">
      <w:r>
        <w:t>Please take the time to familiarize yourself with the following changes between the 6</w:t>
      </w:r>
      <w:r w:rsidRPr="00D81479">
        <w:rPr>
          <w:vertAlign w:val="superscript"/>
        </w:rPr>
        <w:t>th</w:t>
      </w:r>
      <w:r>
        <w:t xml:space="preserve"> and 7</w:t>
      </w:r>
      <w:r w:rsidRPr="00D81479">
        <w:rPr>
          <w:vertAlign w:val="superscript"/>
        </w:rPr>
        <w:t>th</w:t>
      </w:r>
      <w:r>
        <w:t xml:space="preserve"> editions.  </w:t>
      </w:r>
    </w:p>
    <w:tbl>
      <w:tblPr>
        <w:tblStyle w:val="TableGrid"/>
        <w:tblW w:w="0" w:type="auto"/>
        <w:tblLook w:val="04A0" w:firstRow="1" w:lastRow="0" w:firstColumn="1" w:lastColumn="0" w:noHBand="0" w:noVBand="1"/>
      </w:tblPr>
      <w:tblGrid>
        <w:gridCol w:w="4675"/>
        <w:gridCol w:w="4675"/>
      </w:tblGrid>
      <w:tr w:rsidR="00A160CF" w:rsidTr="00A160CF">
        <w:tc>
          <w:tcPr>
            <w:tcW w:w="4675" w:type="dxa"/>
            <w:shd w:val="clear" w:color="auto" w:fill="A8D08D" w:themeFill="accent6" w:themeFillTint="99"/>
          </w:tcPr>
          <w:p w:rsidR="00A160CF" w:rsidRPr="00041DE9" w:rsidRDefault="00A160CF" w:rsidP="00041DE9">
            <w:pPr>
              <w:jc w:val="center"/>
              <w:rPr>
                <w:b/>
                <w:color w:val="FFFFFF" w:themeColor="background1"/>
                <w:sz w:val="40"/>
                <w:szCs w:val="40"/>
              </w:rPr>
            </w:pPr>
            <w:r w:rsidRPr="00041DE9">
              <w:rPr>
                <w:b/>
                <w:color w:val="FFFFFF" w:themeColor="background1"/>
                <w:sz w:val="40"/>
                <w:szCs w:val="40"/>
              </w:rPr>
              <w:t>Seventh edition (2019)</w:t>
            </w:r>
          </w:p>
        </w:tc>
        <w:tc>
          <w:tcPr>
            <w:tcW w:w="4675" w:type="dxa"/>
            <w:shd w:val="clear" w:color="auto" w:fill="A8D08D" w:themeFill="accent6" w:themeFillTint="99"/>
          </w:tcPr>
          <w:p w:rsidR="00A160CF" w:rsidRPr="00041DE9" w:rsidRDefault="00A160CF" w:rsidP="00041DE9">
            <w:pPr>
              <w:jc w:val="center"/>
              <w:rPr>
                <w:b/>
                <w:color w:val="FFFFFF" w:themeColor="background1"/>
                <w:sz w:val="40"/>
                <w:szCs w:val="40"/>
              </w:rPr>
            </w:pPr>
            <w:r w:rsidRPr="00041DE9">
              <w:rPr>
                <w:b/>
                <w:color w:val="FFFFFF" w:themeColor="background1"/>
                <w:sz w:val="40"/>
                <w:szCs w:val="40"/>
              </w:rPr>
              <w:t>Sixth edition (2010)</w:t>
            </w:r>
          </w:p>
        </w:tc>
      </w:tr>
      <w:tr w:rsidR="00A160CF" w:rsidTr="00A160CF">
        <w:tc>
          <w:tcPr>
            <w:tcW w:w="4675" w:type="dxa"/>
          </w:tcPr>
          <w:p w:rsidR="00A160CF" w:rsidRDefault="00A160CF" w:rsidP="00041DE9">
            <w:pPr>
              <w:jc w:val="center"/>
            </w:pPr>
            <w:r>
              <w:rPr>
                <w:noProof/>
              </w:rPr>
              <w:drawing>
                <wp:inline distT="0" distB="0" distL="0" distR="0" wp14:anchorId="2B6F52BB" wp14:editId="01C14619">
                  <wp:extent cx="2057506" cy="25909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57506" cy="2590933"/>
                          </a:xfrm>
                          <a:prstGeom prst="rect">
                            <a:avLst/>
                          </a:prstGeom>
                        </pic:spPr>
                      </pic:pic>
                    </a:graphicData>
                  </a:graphic>
                </wp:inline>
              </w:drawing>
            </w:r>
          </w:p>
        </w:tc>
        <w:tc>
          <w:tcPr>
            <w:tcW w:w="4675" w:type="dxa"/>
          </w:tcPr>
          <w:p w:rsidR="00A160CF" w:rsidRDefault="00A160CF" w:rsidP="00041DE9">
            <w:pPr>
              <w:jc w:val="center"/>
            </w:pPr>
            <w:r>
              <w:rPr>
                <w:noProof/>
              </w:rPr>
              <w:drawing>
                <wp:inline distT="0" distB="0" distL="0" distR="0" wp14:anchorId="1044F323" wp14:editId="146825FA">
                  <wp:extent cx="1886047" cy="26671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86047" cy="2667137"/>
                          </a:xfrm>
                          <a:prstGeom prst="rect">
                            <a:avLst/>
                          </a:prstGeom>
                        </pic:spPr>
                      </pic:pic>
                    </a:graphicData>
                  </a:graphic>
                </wp:inline>
              </w:drawing>
            </w:r>
          </w:p>
        </w:tc>
      </w:tr>
      <w:tr w:rsidR="00A160CF" w:rsidTr="000F0B44">
        <w:tc>
          <w:tcPr>
            <w:tcW w:w="9350" w:type="dxa"/>
            <w:gridSpan w:val="2"/>
            <w:shd w:val="clear" w:color="auto" w:fill="A8D08D" w:themeFill="accent6" w:themeFillTint="99"/>
          </w:tcPr>
          <w:p w:rsidR="00A160CF" w:rsidRPr="00041DE9" w:rsidRDefault="00641628" w:rsidP="00641628">
            <w:pPr>
              <w:jc w:val="center"/>
              <w:rPr>
                <w:b/>
                <w:color w:val="FFFFFF" w:themeColor="background1"/>
                <w:sz w:val="40"/>
                <w:szCs w:val="40"/>
              </w:rPr>
            </w:pPr>
            <w:r w:rsidRPr="00041DE9">
              <w:rPr>
                <w:b/>
                <w:color w:val="FFFFFF" w:themeColor="background1"/>
                <w:sz w:val="40"/>
                <w:szCs w:val="40"/>
              </w:rPr>
              <w:t>Mechanics of Style / Writing &amp; Grammar</w:t>
            </w:r>
          </w:p>
        </w:tc>
      </w:tr>
      <w:tr w:rsidR="00A160CF" w:rsidTr="00A160CF">
        <w:tc>
          <w:tcPr>
            <w:tcW w:w="4675" w:type="dxa"/>
          </w:tcPr>
          <w:p w:rsidR="00A160CF" w:rsidRDefault="00436406">
            <w:r>
              <w:t>Singular ‘they’ is acceptable (Section 4.18, p. 120)</w:t>
            </w:r>
          </w:p>
        </w:tc>
        <w:tc>
          <w:tcPr>
            <w:tcW w:w="4675" w:type="dxa"/>
          </w:tcPr>
          <w:p w:rsidR="00A160CF" w:rsidRDefault="00436406">
            <w:r>
              <w:t>Pronouns: ‘He or she’ or plural ‘they’ (Section 3.20, p. 79)</w:t>
            </w:r>
          </w:p>
        </w:tc>
      </w:tr>
      <w:tr w:rsidR="00A160CF" w:rsidTr="00A160CF">
        <w:tc>
          <w:tcPr>
            <w:tcW w:w="4675" w:type="dxa"/>
          </w:tcPr>
          <w:p w:rsidR="00A160CF" w:rsidRDefault="00436406">
            <w:r>
              <w:t>Single space after all punctuation (Section 6.1, p. 154)</w:t>
            </w:r>
          </w:p>
        </w:tc>
        <w:tc>
          <w:tcPr>
            <w:tcW w:w="4675" w:type="dxa"/>
          </w:tcPr>
          <w:p w:rsidR="00A160CF" w:rsidRDefault="00436406">
            <w:r>
              <w:t>Two spaces after punctuation (Section 4.01, p. 88)</w:t>
            </w:r>
          </w:p>
        </w:tc>
      </w:tr>
      <w:tr w:rsidR="00A160CF" w:rsidTr="00A160CF">
        <w:tc>
          <w:tcPr>
            <w:tcW w:w="4675" w:type="dxa"/>
          </w:tcPr>
          <w:p w:rsidR="00A160CF" w:rsidRDefault="00436406">
            <w:r>
              <w:t>Editorial ‘we’ is not permitted (Section 4.17, p. 120)</w:t>
            </w:r>
          </w:p>
        </w:tc>
        <w:tc>
          <w:tcPr>
            <w:tcW w:w="4675" w:type="dxa"/>
          </w:tcPr>
          <w:p w:rsidR="00A160CF" w:rsidRDefault="00436406">
            <w:r>
              <w:t>Editorial ‘we’; No specific guideline</w:t>
            </w:r>
          </w:p>
        </w:tc>
      </w:tr>
      <w:tr w:rsidR="00A160CF" w:rsidTr="00A160CF">
        <w:tc>
          <w:tcPr>
            <w:tcW w:w="4675" w:type="dxa"/>
          </w:tcPr>
          <w:p w:rsidR="00A160CF" w:rsidRDefault="00436406">
            <w:r>
              <w:t>Spelling</w:t>
            </w:r>
          </w:p>
          <w:p w:rsidR="00436406" w:rsidRDefault="00436406" w:rsidP="00436406">
            <w:pPr>
              <w:pStyle w:val="ListParagraph"/>
              <w:numPr>
                <w:ilvl w:val="0"/>
                <w:numId w:val="1"/>
              </w:numPr>
            </w:pPr>
            <w:proofErr w:type="spellStart"/>
            <w:r>
              <w:t>ebook</w:t>
            </w:r>
            <w:proofErr w:type="spellEnd"/>
          </w:p>
          <w:p w:rsidR="00436406" w:rsidRDefault="00436406" w:rsidP="00436406">
            <w:pPr>
              <w:pStyle w:val="ListParagraph"/>
              <w:numPr>
                <w:ilvl w:val="0"/>
                <w:numId w:val="1"/>
              </w:numPr>
            </w:pPr>
            <w:r>
              <w:t>webpage</w:t>
            </w:r>
          </w:p>
          <w:p w:rsidR="00436406" w:rsidRDefault="00436406" w:rsidP="00436406">
            <w:pPr>
              <w:pStyle w:val="ListParagraph"/>
              <w:numPr>
                <w:ilvl w:val="0"/>
                <w:numId w:val="1"/>
              </w:numPr>
            </w:pPr>
            <w:r>
              <w:t>internet</w:t>
            </w:r>
          </w:p>
          <w:p w:rsidR="00436406" w:rsidRDefault="00436406" w:rsidP="00436406">
            <w:pPr>
              <w:pStyle w:val="ListParagraph"/>
              <w:numPr>
                <w:ilvl w:val="0"/>
                <w:numId w:val="1"/>
              </w:numPr>
            </w:pPr>
            <w:r>
              <w:t>Wi-Fi</w:t>
            </w:r>
          </w:p>
          <w:p w:rsidR="00436406" w:rsidRDefault="00436406" w:rsidP="00436406">
            <w:r>
              <w:t>(Section 6.11, pp. 161-162)</w:t>
            </w:r>
          </w:p>
        </w:tc>
        <w:tc>
          <w:tcPr>
            <w:tcW w:w="4675" w:type="dxa"/>
          </w:tcPr>
          <w:p w:rsidR="00A160CF" w:rsidRDefault="00436406">
            <w:r>
              <w:t>Spelling</w:t>
            </w:r>
          </w:p>
          <w:p w:rsidR="00436406" w:rsidRDefault="00436406" w:rsidP="00436406">
            <w:pPr>
              <w:pStyle w:val="ListParagraph"/>
              <w:numPr>
                <w:ilvl w:val="0"/>
                <w:numId w:val="2"/>
              </w:numPr>
            </w:pPr>
            <w:proofErr w:type="spellStart"/>
            <w:r>
              <w:t>ebook</w:t>
            </w:r>
            <w:proofErr w:type="spellEnd"/>
          </w:p>
          <w:p w:rsidR="00436406" w:rsidRDefault="00436406" w:rsidP="00436406">
            <w:pPr>
              <w:pStyle w:val="ListParagraph"/>
              <w:numPr>
                <w:ilvl w:val="0"/>
                <w:numId w:val="2"/>
              </w:numPr>
            </w:pPr>
            <w:r>
              <w:t>webpage</w:t>
            </w:r>
          </w:p>
          <w:p w:rsidR="00436406" w:rsidRDefault="00436406" w:rsidP="00436406">
            <w:pPr>
              <w:pStyle w:val="ListParagraph"/>
              <w:numPr>
                <w:ilvl w:val="0"/>
                <w:numId w:val="2"/>
              </w:numPr>
            </w:pPr>
            <w:r>
              <w:t>internet</w:t>
            </w:r>
          </w:p>
        </w:tc>
      </w:tr>
      <w:tr w:rsidR="00436406" w:rsidTr="00A160CF">
        <w:tc>
          <w:tcPr>
            <w:tcW w:w="4675" w:type="dxa"/>
          </w:tcPr>
          <w:p w:rsidR="00436406" w:rsidRDefault="009647FF" w:rsidP="009647FF">
            <w:pPr>
              <w:tabs>
                <w:tab w:val="left" w:pos="1150"/>
              </w:tabs>
            </w:pPr>
            <w:r>
              <w:t>Capitalize all nouns followed by numerals or letters, except pate (p. or pp.) and paragraph (para. or paras.). Section is now capitalized (Section) (Section 6.19, p. 168)</w:t>
            </w:r>
          </w:p>
        </w:tc>
        <w:tc>
          <w:tcPr>
            <w:tcW w:w="4675" w:type="dxa"/>
          </w:tcPr>
          <w:p w:rsidR="00436406" w:rsidRDefault="009647FF">
            <w:r>
              <w:t>Capitalize nouns followed by numerals or letters, except common parts of books, sections, tables, page (p. or pp.) and paragraph (para. or paras) (Section 4.17, p. 103)</w:t>
            </w:r>
          </w:p>
        </w:tc>
      </w:tr>
      <w:tr w:rsidR="00540001" w:rsidTr="00A160CF">
        <w:tc>
          <w:tcPr>
            <w:tcW w:w="4675" w:type="dxa"/>
          </w:tcPr>
          <w:p w:rsidR="00540001" w:rsidRDefault="00540001" w:rsidP="009647FF">
            <w:pPr>
              <w:tabs>
                <w:tab w:val="left" w:pos="1150"/>
              </w:tabs>
            </w:pPr>
            <w:r>
              <w:t>Abbreviate hour, minute, second, millisecond, etc., when followed by a numeric value (Section 6.28, p. 178)</w:t>
            </w:r>
          </w:p>
        </w:tc>
        <w:tc>
          <w:tcPr>
            <w:tcW w:w="4675" w:type="dxa"/>
          </w:tcPr>
          <w:p w:rsidR="00540001" w:rsidRDefault="00540001">
            <w:r>
              <w:t>No guideline</w:t>
            </w:r>
          </w:p>
        </w:tc>
      </w:tr>
      <w:tr w:rsidR="00436406" w:rsidTr="00A160CF">
        <w:tc>
          <w:tcPr>
            <w:tcW w:w="4675" w:type="dxa"/>
          </w:tcPr>
          <w:p w:rsidR="00436406" w:rsidRDefault="00540001">
            <w:r>
              <w:t>Use numerals to express all units of time, including approximations (Section 6.32, p. 178)</w:t>
            </w:r>
          </w:p>
        </w:tc>
        <w:tc>
          <w:tcPr>
            <w:tcW w:w="4675" w:type="dxa"/>
          </w:tcPr>
          <w:p w:rsidR="00436406" w:rsidRDefault="00540001">
            <w:r>
              <w:t>Use numerals to express units of time except when time is an approximation (Section 4.31, pp. 111-112)</w:t>
            </w:r>
          </w:p>
        </w:tc>
      </w:tr>
      <w:tr w:rsidR="00436406" w:rsidTr="00A160CF">
        <w:tc>
          <w:tcPr>
            <w:tcW w:w="4675" w:type="dxa"/>
          </w:tcPr>
          <w:p w:rsidR="00436406" w:rsidRDefault="000F0B44">
            <w:r>
              <w:t xml:space="preserve">Use of double quotation marks has been </w:t>
            </w:r>
            <w:r>
              <w:lastRenderedPageBreak/>
              <w:t>expanded to include copyright attribution (Section 6.7, p. 158)</w:t>
            </w:r>
          </w:p>
        </w:tc>
        <w:tc>
          <w:tcPr>
            <w:tcW w:w="4675" w:type="dxa"/>
          </w:tcPr>
          <w:p w:rsidR="00436406" w:rsidRDefault="000F0B44">
            <w:r>
              <w:lastRenderedPageBreak/>
              <w:t xml:space="preserve">Use double quotation marks to introduce </w:t>
            </w:r>
            <w:r>
              <w:lastRenderedPageBreak/>
              <w:t>invented terms or text used ironically, to set off titles in text, and to denote quotes (Section 4.07, pp. 91-92)</w:t>
            </w:r>
          </w:p>
        </w:tc>
      </w:tr>
      <w:tr w:rsidR="000F0B44" w:rsidTr="000F0B44">
        <w:tc>
          <w:tcPr>
            <w:tcW w:w="9350" w:type="dxa"/>
            <w:gridSpan w:val="2"/>
            <w:shd w:val="clear" w:color="auto" w:fill="A8D08D" w:themeFill="accent6" w:themeFillTint="99"/>
          </w:tcPr>
          <w:p w:rsidR="000F0B44" w:rsidRPr="00041DE9" w:rsidRDefault="000F0B44" w:rsidP="000F0B44">
            <w:pPr>
              <w:jc w:val="center"/>
              <w:rPr>
                <w:b/>
                <w:sz w:val="40"/>
                <w:szCs w:val="40"/>
              </w:rPr>
            </w:pPr>
            <w:r w:rsidRPr="00041DE9">
              <w:rPr>
                <w:b/>
                <w:color w:val="FFFFFF" w:themeColor="background1"/>
                <w:sz w:val="40"/>
                <w:szCs w:val="40"/>
              </w:rPr>
              <w:lastRenderedPageBreak/>
              <w:t>Citing Material</w:t>
            </w:r>
          </w:p>
        </w:tc>
      </w:tr>
      <w:tr w:rsidR="009647FF" w:rsidTr="00A160CF">
        <w:tc>
          <w:tcPr>
            <w:tcW w:w="4675" w:type="dxa"/>
          </w:tcPr>
          <w:p w:rsidR="009647FF" w:rsidRDefault="000F0B44">
            <w:r>
              <w:t>Use ‘Author et al.’ when citing work by three or more authors (Table 8.1, p. 266)</w:t>
            </w:r>
          </w:p>
        </w:tc>
        <w:tc>
          <w:tcPr>
            <w:tcW w:w="4675" w:type="dxa"/>
          </w:tcPr>
          <w:p w:rsidR="009647FF" w:rsidRDefault="0076563F">
            <w:r>
              <w:t>Use ‘Author et al.’ when citing work by six or mor</w:t>
            </w:r>
            <w:r w:rsidR="00041DE9">
              <w:t>e</w:t>
            </w:r>
            <w:r>
              <w:t xml:space="preserve"> authors (Ta le 6.1, p. 177)</w:t>
            </w:r>
          </w:p>
        </w:tc>
      </w:tr>
      <w:tr w:rsidR="00436406" w:rsidTr="00A160CF">
        <w:tc>
          <w:tcPr>
            <w:tcW w:w="4675" w:type="dxa"/>
          </w:tcPr>
          <w:p w:rsidR="00436406" w:rsidRDefault="0076563F">
            <w:r>
              <w:t>References by the same author with the same publication date include a lowercase letter after the year and are organized by year-letter (Section 8.19, p. 267)</w:t>
            </w:r>
          </w:p>
        </w:tc>
        <w:tc>
          <w:tcPr>
            <w:tcW w:w="4675" w:type="dxa"/>
          </w:tcPr>
          <w:p w:rsidR="00436406" w:rsidRDefault="0076563F">
            <w:r>
              <w:t>References by the same author and publication date are arranged by alphabetically by title unless they are part of a series.  Use lowercase letters after the year (Section 6.21, p. 182)</w:t>
            </w:r>
          </w:p>
        </w:tc>
      </w:tr>
      <w:tr w:rsidR="0076563F" w:rsidTr="0076563F">
        <w:tc>
          <w:tcPr>
            <w:tcW w:w="9350" w:type="dxa"/>
            <w:gridSpan w:val="2"/>
            <w:shd w:val="clear" w:color="auto" w:fill="A8D08D" w:themeFill="accent6" w:themeFillTint="99"/>
          </w:tcPr>
          <w:p w:rsidR="0076563F" w:rsidRPr="00041DE9" w:rsidRDefault="0076563F" w:rsidP="0076563F">
            <w:pPr>
              <w:jc w:val="center"/>
              <w:rPr>
                <w:b/>
                <w:color w:val="FFFFFF" w:themeColor="background1"/>
                <w:sz w:val="40"/>
                <w:szCs w:val="40"/>
              </w:rPr>
            </w:pPr>
            <w:r w:rsidRPr="00041DE9">
              <w:rPr>
                <w:b/>
                <w:color w:val="FFFFFF" w:themeColor="background1"/>
                <w:sz w:val="40"/>
                <w:szCs w:val="40"/>
              </w:rPr>
              <w:t>References Entries</w:t>
            </w:r>
          </w:p>
        </w:tc>
      </w:tr>
      <w:tr w:rsidR="00123691" w:rsidTr="00A160CF">
        <w:tc>
          <w:tcPr>
            <w:tcW w:w="4675" w:type="dxa"/>
          </w:tcPr>
          <w:p w:rsidR="00123691" w:rsidRDefault="00123691">
            <w:r>
              <w:t>Italicization has been expanded to include titles of webpages (Section 6.22, pp. 170-171)</w:t>
            </w:r>
          </w:p>
        </w:tc>
        <w:tc>
          <w:tcPr>
            <w:tcW w:w="4675" w:type="dxa"/>
          </w:tcPr>
          <w:p w:rsidR="00123691" w:rsidRDefault="00123691">
            <w:r>
              <w:t>Titles of books, journals, magazines, newspapers, and stand-</w:t>
            </w:r>
            <w:r w:rsidR="00D81479">
              <w:t>alone publications are set in it</w:t>
            </w:r>
            <w:r>
              <w:t>alics (Section 4.21, p. 104)</w:t>
            </w:r>
          </w:p>
        </w:tc>
      </w:tr>
      <w:tr w:rsidR="00436406" w:rsidTr="00A160CF">
        <w:tc>
          <w:tcPr>
            <w:tcW w:w="4675" w:type="dxa"/>
          </w:tcPr>
          <w:p w:rsidR="00436406" w:rsidRDefault="0040363E">
            <w:r>
              <w:t>Include up to 20 authors, For 21 authors and more, list the first 19 plus the last one (Section 9.8, p. 286)</w:t>
            </w:r>
          </w:p>
        </w:tc>
        <w:tc>
          <w:tcPr>
            <w:tcW w:w="4675" w:type="dxa"/>
          </w:tcPr>
          <w:p w:rsidR="00436406" w:rsidRDefault="00123691">
            <w:r>
              <w:t>In works with more than seven authors, include the first six plus the last on</w:t>
            </w:r>
            <w:r w:rsidR="00D81479">
              <w:t>e</w:t>
            </w:r>
            <w:r>
              <w:t xml:space="preserve"> (p. 198, Example 2)</w:t>
            </w:r>
          </w:p>
        </w:tc>
      </w:tr>
      <w:tr w:rsidR="0076563F" w:rsidTr="00A160CF">
        <w:tc>
          <w:tcPr>
            <w:tcW w:w="4675" w:type="dxa"/>
          </w:tcPr>
          <w:p w:rsidR="0076563F" w:rsidRDefault="00123691">
            <w:r>
              <w:t>For multiple group authors, use the most specific agency as the author (Section 9.11, p. 288)</w:t>
            </w:r>
          </w:p>
        </w:tc>
        <w:tc>
          <w:tcPr>
            <w:tcW w:w="4675" w:type="dxa"/>
          </w:tcPr>
          <w:p w:rsidR="0076563F" w:rsidRDefault="00123691">
            <w:r>
              <w:t>For multiple group authors, list all agencies from largest to smallest as the author (Section 7.03, p. 205, Example 31)</w:t>
            </w:r>
          </w:p>
        </w:tc>
      </w:tr>
      <w:tr w:rsidR="00123691" w:rsidTr="00A160CF">
        <w:tc>
          <w:tcPr>
            <w:tcW w:w="4675" w:type="dxa"/>
          </w:tcPr>
          <w:p w:rsidR="00123691" w:rsidRDefault="00123691">
            <w:r>
              <w:t>Always include a publication’s issue number (Section 9.25, p. 294)</w:t>
            </w:r>
          </w:p>
        </w:tc>
        <w:tc>
          <w:tcPr>
            <w:tcW w:w="4675" w:type="dxa"/>
          </w:tcPr>
          <w:p w:rsidR="00123691" w:rsidRDefault="00123691">
            <w:r>
              <w:t>Include a publication’s issue number only when the publication is paginated by issue (Section 6.30, p. 186)</w:t>
            </w:r>
          </w:p>
        </w:tc>
      </w:tr>
      <w:tr w:rsidR="00123691" w:rsidTr="00A160CF">
        <w:tc>
          <w:tcPr>
            <w:tcW w:w="4675" w:type="dxa"/>
          </w:tcPr>
          <w:p w:rsidR="00123691" w:rsidRDefault="00123691" w:rsidP="00123691">
            <w:r>
              <w:t>For sources from journals, magazines, newspapers, and blogs, finish the reference entry with a DOI or URL as applicable. ‘Retrieved from’ is no longer in use.  For database sources, the page range is the last item of the entry (Section 9.25, p. 294)</w:t>
            </w:r>
          </w:p>
        </w:tc>
        <w:tc>
          <w:tcPr>
            <w:tcW w:w="4675" w:type="dxa"/>
          </w:tcPr>
          <w:p w:rsidR="00123691" w:rsidRDefault="00123691">
            <w:r>
              <w:t xml:space="preserve">For sources from journals, use the DOI if it has been assigned one.  If not, use ‘Retrieved from’ and the exact URL for the journal home page for sources accessed through a database (Section 6.32, pp. 1890192, and Section 7.01, p. 198) </w:t>
            </w:r>
          </w:p>
        </w:tc>
      </w:tr>
      <w:tr w:rsidR="00B410C4" w:rsidTr="00A160CF">
        <w:tc>
          <w:tcPr>
            <w:tcW w:w="4675" w:type="dxa"/>
          </w:tcPr>
          <w:p w:rsidR="00B410C4" w:rsidRDefault="00B410C4">
            <w:r>
              <w:t xml:space="preserve">Include article numbers as ‘Article </w:t>
            </w:r>
            <w:proofErr w:type="spellStart"/>
            <w:r>
              <w:t>xxxx</w:t>
            </w:r>
            <w:proofErr w:type="spellEnd"/>
            <w:r>
              <w:t>’ (Section 9.27, p. 294)</w:t>
            </w:r>
          </w:p>
        </w:tc>
        <w:tc>
          <w:tcPr>
            <w:tcW w:w="4675" w:type="dxa"/>
          </w:tcPr>
          <w:p w:rsidR="00B410C4" w:rsidRDefault="00B410C4">
            <w:r>
              <w:t>No guideline</w:t>
            </w:r>
          </w:p>
        </w:tc>
      </w:tr>
      <w:tr w:rsidR="00B410C4" w:rsidTr="00A160CF">
        <w:tc>
          <w:tcPr>
            <w:tcW w:w="4675" w:type="dxa"/>
          </w:tcPr>
          <w:p w:rsidR="00B410C4" w:rsidRDefault="00B410C4">
            <w:r>
              <w:t>Publisher’s location is no longer in use (Section 9.29, p. 295)</w:t>
            </w:r>
          </w:p>
        </w:tc>
        <w:tc>
          <w:tcPr>
            <w:tcW w:w="4675" w:type="dxa"/>
          </w:tcPr>
          <w:p w:rsidR="00B410C4" w:rsidRDefault="00B410C4">
            <w:r>
              <w:t>For books and reports give the publisher’s location (Section 6.30, pp. 186-187)</w:t>
            </w:r>
          </w:p>
        </w:tc>
      </w:tr>
      <w:tr w:rsidR="00123691" w:rsidTr="00A160CF">
        <w:tc>
          <w:tcPr>
            <w:tcW w:w="4675" w:type="dxa"/>
          </w:tcPr>
          <w:p w:rsidR="00123691" w:rsidRDefault="00123691">
            <w:r>
              <w:t>DOIs and URLs are presented as live links (Section 9.35, p. 299)</w:t>
            </w:r>
          </w:p>
        </w:tc>
        <w:tc>
          <w:tcPr>
            <w:tcW w:w="4675" w:type="dxa"/>
          </w:tcPr>
          <w:p w:rsidR="00123691" w:rsidRDefault="00123691">
            <w:r>
              <w:t>No guideline</w:t>
            </w:r>
          </w:p>
        </w:tc>
      </w:tr>
      <w:tr w:rsidR="00123691" w:rsidTr="00A160CF">
        <w:tc>
          <w:tcPr>
            <w:tcW w:w="4675" w:type="dxa"/>
          </w:tcPr>
          <w:p w:rsidR="00123691" w:rsidRDefault="00123691">
            <w:r>
              <w:t xml:space="preserve">The only accepted format for DOIs in reference entries is </w:t>
            </w:r>
            <w:hyperlink r:id="rId10" w:history="1">
              <w:r w:rsidRPr="00AA4064">
                <w:rPr>
                  <w:rStyle w:val="Hyperlink"/>
                </w:rPr>
                <w:t>https://doi.org/xxx</w:t>
              </w:r>
            </w:hyperlink>
            <w:r>
              <w:t xml:space="preserve"> (Section 9.35, p. 299)</w:t>
            </w:r>
          </w:p>
        </w:tc>
        <w:tc>
          <w:tcPr>
            <w:tcW w:w="4675" w:type="dxa"/>
          </w:tcPr>
          <w:p w:rsidR="00123691" w:rsidRDefault="00B410C4">
            <w:r>
              <w:t xml:space="preserve">Format DOIs in reference entries as </w:t>
            </w:r>
            <w:proofErr w:type="spellStart"/>
            <w:r>
              <w:t>doi:xxx</w:t>
            </w:r>
            <w:proofErr w:type="spellEnd"/>
            <w:r>
              <w:t xml:space="preserve">, </w:t>
            </w:r>
            <w:hyperlink r:id="rId11" w:history="1">
              <w:r w:rsidRPr="00AA4064">
                <w:rPr>
                  <w:rStyle w:val="Hyperlink"/>
                </w:rPr>
                <w:t>http://dx.doi.org/xxx</w:t>
              </w:r>
            </w:hyperlink>
            <w:r>
              <w:t xml:space="preserve">, or </w:t>
            </w:r>
            <w:hyperlink r:id="rId12" w:history="1">
              <w:r w:rsidRPr="00AA4064">
                <w:rPr>
                  <w:rStyle w:val="Hyperlink"/>
                </w:rPr>
                <w:t>https://doi.org/xxx</w:t>
              </w:r>
            </w:hyperlink>
            <w:r>
              <w:t xml:space="preserve"> </w:t>
            </w:r>
          </w:p>
        </w:tc>
      </w:tr>
      <w:tr w:rsidR="00B410C4" w:rsidTr="00A160CF">
        <w:tc>
          <w:tcPr>
            <w:tcW w:w="4675" w:type="dxa"/>
          </w:tcPr>
          <w:p w:rsidR="00B410C4" w:rsidRDefault="00B410C4">
            <w:r>
              <w:t>Long DOIs and URLs can be shortened (Section 9.36, p. 300)</w:t>
            </w:r>
          </w:p>
        </w:tc>
        <w:tc>
          <w:tcPr>
            <w:tcW w:w="4675" w:type="dxa"/>
          </w:tcPr>
          <w:p w:rsidR="00B410C4" w:rsidRDefault="00B410C4">
            <w:r>
              <w:t>No guideline</w:t>
            </w:r>
          </w:p>
        </w:tc>
      </w:tr>
      <w:tr w:rsidR="0040363E" w:rsidTr="00A160CF">
        <w:tc>
          <w:tcPr>
            <w:tcW w:w="4675" w:type="dxa"/>
          </w:tcPr>
          <w:p w:rsidR="0040363E" w:rsidRDefault="00123691">
            <w:r>
              <w:t>Italicize titles of social media content, online forum posts, and webpages (Sections, 10.15-10.16, pp. 348-352)</w:t>
            </w:r>
          </w:p>
        </w:tc>
        <w:tc>
          <w:tcPr>
            <w:tcW w:w="4675" w:type="dxa"/>
          </w:tcPr>
          <w:p w:rsidR="0040363E" w:rsidRDefault="00123691">
            <w:r>
              <w:t>No guideline</w:t>
            </w:r>
          </w:p>
        </w:tc>
      </w:tr>
    </w:tbl>
    <w:p w:rsidR="00A160CF" w:rsidRDefault="00A160CF"/>
    <w:sectPr w:rsidR="00A160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68B" w:rsidRDefault="00E8568B" w:rsidP="009F1D7E">
      <w:pPr>
        <w:spacing w:after="0" w:line="240" w:lineRule="auto"/>
      </w:pPr>
      <w:r>
        <w:separator/>
      </w:r>
    </w:p>
  </w:endnote>
  <w:endnote w:type="continuationSeparator" w:id="0">
    <w:p w:rsidR="00E8568B" w:rsidRDefault="00E8568B" w:rsidP="009F1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68B" w:rsidRDefault="00E8568B" w:rsidP="009F1D7E">
      <w:pPr>
        <w:spacing w:after="0" w:line="240" w:lineRule="auto"/>
      </w:pPr>
      <w:r>
        <w:separator/>
      </w:r>
    </w:p>
  </w:footnote>
  <w:footnote w:type="continuationSeparator" w:id="0">
    <w:p w:rsidR="00E8568B" w:rsidRDefault="00E8568B" w:rsidP="009F1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96B12"/>
    <w:multiLevelType w:val="hybridMultilevel"/>
    <w:tmpl w:val="CD4C86F0"/>
    <w:lvl w:ilvl="0" w:tplc="E6BEBF8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5432AD"/>
    <w:multiLevelType w:val="hybridMultilevel"/>
    <w:tmpl w:val="834EA52A"/>
    <w:lvl w:ilvl="0" w:tplc="E6BEBF8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0CF"/>
    <w:rsid w:val="00004061"/>
    <w:rsid w:val="00041DE9"/>
    <w:rsid w:val="000F0B44"/>
    <w:rsid w:val="00123691"/>
    <w:rsid w:val="0040363E"/>
    <w:rsid w:val="00436406"/>
    <w:rsid w:val="00540001"/>
    <w:rsid w:val="005E77CA"/>
    <w:rsid w:val="00641628"/>
    <w:rsid w:val="0076563F"/>
    <w:rsid w:val="008459B9"/>
    <w:rsid w:val="00903DC6"/>
    <w:rsid w:val="009647FF"/>
    <w:rsid w:val="009F1D7E"/>
    <w:rsid w:val="00A160CF"/>
    <w:rsid w:val="00B410C4"/>
    <w:rsid w:val="00CB6E5F"/>
    <w:rsid w:val="00D81479"/>
    <w:rsid w:val="00DF716E"/>
    <w:rsid w:val="00E8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6406"/>
    <w:pPr>
      <w:ind w:left="720"/>
      <w:contextualSpacing/>
    </w:pPr>
  </w:style>
  <w:style w:type="character" w:styleId="Hyperlink">
    <w:name w:val="Hyperlink"/>
    <w:basedOn w:val="DefaultParagraphFont"/>
    <w:uiPriority w:val="99"/>
    <w:unhideWhenUsed/>
    <w:rsid w:val="00123691"/>
    <w:rPr>
      <w:color w:val="0563C1" w:themeColor="hyperlink"/>
      <w:u w:val="single"/>
    </w:rPr>
  </w:style>
  <w:style w:type="paragraph" w:styleId="Header">
    <w:name w:val="header"/>
    <w:basedOn w:val="Normal"/>
    <w:link w:val="HeaderChar"/>
    <w:uiPriority w:val="99"/>
    <w:unhideWhenUsed/>
    <w:rsid w:val="009F1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D7E"/>
  </w:style>
  <w:style w:type="paragraph" w:styleId="Footer">
    <w:name w:val="footer"/>
    <w:basedOn w:val="Normal"/>
    <w:link w:val="FooterChar"/>
    <w:uiPriority w:val="99"/>
    <w:unhideWhenUsed/>
    <w:rsid w:val="009F1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D7E"/>
  </w:style>
  <w:style w:type="paragraph" w:styleId="BalloonText">
    <w:name w:val="Balloon Text"/>
    <w:basedOn w:val="Normal"/>
    <w:link w:val="BalloonTextChar"/>
    <w:uiPriority w:val="99"/>
    <w:semiHidden/>
    <w:unhideWhenUsed/>
    <w:rsid w:val="00DF7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1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6406"/>
    <w:pPr>
      <w:ind w:left="720"/>
      <w:contextualSpacing/>
    </w:pPr>
  </w:style>
  <w:style w:type="character" w:styleId="Hyperlink">
    <w:name w:val="Hyperlink"/>
    <w:basedOn w:val="DefaultParagraphFont"/>
    <w:uiPriority w:val="99"/>
    <w:unhideWhenUsed/>
    <w:rsid w:val="00123691"/>
    <w:rPr>
      <w:color w:val="0563C1" w:themeColor="hyperlink"/>
      <w:u w:val="single"/>
    </w:rPr>
  </w:style>
  <w:style w:type="paragraph" w:styleId="Header">
    <w:name w:val="header"/>
    <w:basedOn w:val="Normal"/>
    <w:link w:val="HeaderChar"/>
    <w:uiPriority w:val="99"/>
    <w:unhideWhenUsed/>
    <w:rsid w:val="009F1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D7E"/>
  </w:style>
  <w:style w:type="paragraph" w:styleId="Footer">
    <w:name w:val="footer"/>
    <w:basedOn w:val="Normal"/>
    <w:link w:val="FooterChar"/>
    <w:uiPriority w:val="99"/>
    <w:unhideWhenUsed/>
    <w:rsid w:val="009F1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D7E"/>
  </w:style>
  <w:style w:type="paragraph" w:styleId="BalloonText">
    <w:name w:val="Balloon Text"/>
    <w:basedOn w:val="Normal"/>
    <w:link w:val="BalloonTextChar"/>
    <w:uiPriority w:val="99"/>
    <w:semiHidden/>
    <w:unhideWhenUsed/>
    <w:rsid w:val="00DF7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1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i.org/xx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xxx" TargetMode="External"/><Relationship Id="rId5" Type="http://schemas.openxmlformats.org/officeDocument/2006/relationships/webSettings" Target="webSettings.xml"/><Relationship Id="rId10" Type="http://schemas.openxmlformats.org/officeDocument/2006/relationships/hyperlink" Target="https://doi.org/xx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American Public University System</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Blanton, Doris</dc:creator>
  <cp:keywords/>
  <dc:description/>
  <cp:lastModifiedBy>Bari Courts</cp:lastModifiedBy>
  <cp:revision>3</cp:revision>
  <dcterms:created xsi:type="dcterms:W3CDTF">2020-08-15T17:36:00Z</dcterms:created>
  <dcterms:modified xsi:type="dcterms:W3CDTF">2020-08-16T04:38:00Z</dcterms:modified>
</cp:coreProperties>
</file>